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4F5" w:rsidRPr="000946D0" w:rsidRDefault="005A64F5" w:rsidP="005A64F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946D0">
        <w:rPr>
          <w:rFonts w:ascii="Times New Roman" w:hAnsi="Times New Roman" w:cs="Times New Roman"/>
          <w:b w:val="0"/>
          <w:sz w:val="28"/>
          <w:szCs w:val="28"/>
        </w:rPr>
        <w:t>Целевые значения критериев доступности и качества</w:t>
      </w:r>
    </w:p>
    <w:p w:rsidR="005A64F5" w:rsidRPr="000946D0" w:rsidRDefault="005A64F5" w:rsidP="005A64F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46D0">
        <w:rPr>
          <w:rFonts w:ascii="Times New Roman" w:hAnsi="Times New Roman" w:cs="Times New Roman"/>
          <w:b w:val="0"/>
          <w:sz w:val="28"/>
          <w:szCs w:val="28"/>
        </w:rPr>
        <w:t>медицинской помощи, оказываемой в рамках Программы государственных гарантий бесплатного оказания медицинской помощи на 202</w:t>
      </w:r>
      <w:r w:rsidR="003F48AD">
        <w:rPr>
          <w:rFonts w:ascii="Times New Roman" w:hAnsi="Times New Roman" w:cs="Times New Roman"/>
          <w:b w:val="0"/>
          <w:sz w:val="28"/>
          <w:szCs w:val="28"/>
        </w:rPr>
        <w:t>6</w:t>
      </w:r>
      <w:r w:rsidRPr="000946D0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025F0F" w:rsidRPr="001162B1" w:rsidRDefault="00025F0F" w:rsidP="0002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48AD" w:rsidRPr="003F48AD" w:rsidRDefault="003F48AD" w:rsidP="003F48A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VIII. Целевые значения критериев доступности и качества медицинской помощи, оказываемой в рамках Программы</w:t>
      </w:r>
    </w:p>
    <w:p w:rsidR="003F48AD" w:rsidRPr="003F48AD" w:rsidRDefault="003F48AD" w:rsidP="003F48A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Критериями доступности медицинской помощи являются: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1) удовлетворенность населения доступностью медицинской помощи (процентов числа опрошенных) – 74,5%, в том числе городского (процентов числа опрошенных) – 67,4%, сельского населения (процентов числа опрошенных) – 74,0%;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2) доля расходов на оказание медицинской помощи в условиях дневных стационаров в общих расходах на Программу – 7,8%;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3) доля расходов на оказание медицинской помощи в амбулаторных условиях в неотложной форме в общих расходах на Программу – 1,8%;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4) 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обязательного медицинского страхования – 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5)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– 83%;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6) число пациентов, которым оказана паллиативная медицинская помощь по месту их фактического пребывания за пределами Новосибирской области, на территории которой указанные пациенты зарегистрированы по месту жительства – 0 человек;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7) число пациентов, зарегистрированных на территории Новосибирской области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– 0 детей;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8) 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– 82%;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9) 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 – 95%;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10) доля граждан, обеспеченных лекарственными препаратами, в общем количестве льготных категорий граждан – 99%;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11) доля детей в возрасте от 2 до 17 лет с диагнозом «сахарный диабет», обеспеченных медицинскими изделиями для непрерывного мониторинга уровня глюкозы в крови – 85%;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12) 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 – 161;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13) оперативная активность на одну занятую должность врача хирургической специальности – 65%.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Критериями качества медицинской помощи являются: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1) доля впервые выявленных заболеваний при профилактических медицинских </w:t>
      </w:r>
      <w:r w:rsidRPr="003F48AD">
        <w:rPr>
          <w:rFonts w:ascii="Times New Roman" w:hAnsi="Times New Roman" w:cs="Times New Roman"/>
          <w:b w:val="0"/>
          <w:sz w:val="28"/>
          <w:szCs w:val="28"/>
        </w:rPr>
        <w:lastRenderedPageBreak/>
        <w:t>осмотрах, в том числе в рамках диспансеризации, в общем количестве впервые в жизни зарегистрированных заболеваний в течение года – 2,8%;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2)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– 2,2%;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3) 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– 8%;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4) 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 – 0,2%;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5) 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 – 96,9%;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6) доля пациентов с инфарктом миокарда, госпитализированных 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в первые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12 часов от начала заболевания, в общем количестве госпитализированных пациентов с инфарктом миокарда – 90%;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7) доля пациентов с острым инфарктом миокарда, которым проведено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стентирование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коронарных артерий, в общем количестве пациентов с острым инфарктом миокарда, имеющих показания к его проведению – 90%;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8) доля пациентов с острым и повторным инфарктом миокарда, которым выездной бригадой скорой медицинской помощи 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проведен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тромболизис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 – 95%;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9) доля пациентов с острым инфарктом миокарда, которым проведена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тромболитическая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терапия 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в первые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12 часов от начала заболевания, в общем количестве пациентов с острым инфарктом миокарда, имеющих показания к ее проведению – 95%;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10) 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 – 25%.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11) доля пациентов с острыми цереброваскулярными болезнями, госпитализированных 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в первые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– 40%;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12) доля пациентов с острым ишемическим инсультом, которым проведена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тромболитическая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в первые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6 часов от начала заболевания – 10%;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13) доля пациентов с острым ишемическим инсультом, которым проведена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тромболитическая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– 10%;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14) 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 – 98%;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15) доля пациентов, получающих лечебное (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энтеральное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) питание в рамках </w:t>
      </w:r>
      <w:r w:rsidRPr="003F48AD">
        <w:rPr>
          <w:rFonts w:ascii="Times New Roman" w:hAnsi="Times New Roman" w:cs="Times New Roman"/>
          <w:b w:val="0"/>
          <w:sz w:val="28"/>
          <w:szCs w:val="28"/>
        </w:rPr>
        <w:lastRenderedPageBreak/>
        <w:t>оказания паллиативной медицинской помощи, в общем количестве пациентов, нуждающихся в лечебном (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энтеральном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>) питании при оказании паллиативной медицинской помощи – 70%;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16) доля лиц репродуктивного возраста, прошедших диспансеризацию для оценки репродуктивного здоровья (отдельно по мужчинам и женщинам) – 35%;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17) 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«Женское бесплодие» – 100%;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18) число циклов экстракорпорального оплодотворения, выполняемых медицинской организацией, в течение одного года – 100 и более случаев;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19) доля случаев экстракорпорального оплодотворения, по результатам которого у женщины наступила беременность – 17%;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20) 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 – 10%;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21) количество обоснованных жалоб, в том числе на несоблюдение сроков ожидания оказания и на отказ в оказании медицинской помощи, предоставляемой в рамках Программы – 474;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22) охват диспансерным наблюдением граждан, состоящих на учете в медицинской организации с диагнозом «хроническая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обструктивная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болезнь легких» – 80%;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23) доля пациентов с диагнозом «хроническая сердечная недостаточность», находящихся под диспансерным наблюдением, получающих лекарственное обеспечение – 30%;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24) охват диспансерным наблюдением граждан, состоящих на учете в медицинской организации с диагнозом «гипертоническая болезнь» – 35%;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25) охват диспансерным наблюдением граждан, состоящих на учете в медицинской организации с диагнозом «сахарный диабет» – 70,3% в год;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26) количество пациентов с гепатитом C, получивших противовирусную терапию, на 100 тыс. населения в год – 16,5;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27) доля ветеранов боевых действий, получивших паллиативную медицинскую помощь и (или) лечебное (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энтеральное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>) питание, из числа нуждающихся – 100%;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28) 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прикреплённое население, как отношение годового фактического объёма посещений врача к плановому (нормативному) объёму посещений – 75%;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29) доля пациентов, прооперированных в течение 2 (двух) дней после поступления в стационар по поводу перелома шейки бедра, от всех прооперированных по поводу указанного диагноза – 75%;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30) направлено к врачу-гериатру не менее 10% пациентов старше 70 лет после проведенного профилактического медицинского осмотра и диспансеризации определенных гру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пп взр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ослого населения; 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31) доля пациентов старше 65 лет, взятых на диспансерное наблюдение с диагнозом «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Остеопороз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с патологическим переломом» (код МКБ-10 — М80), «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Остеопороз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безпатологического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перелома» (код МКБ-10 — М81) – 95%;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32) доля пациентов старше 65 лет, госпитализированных с низкоэнергетическим </w:t>
      </w:r>
      <w:r w:rsidRPr="003F48AD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переломом проксимального отдела бедренной кости, которым установлен сопутствующий диагноз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остеопороз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и назначена базисная и патогенетическая терапия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остеопороза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клиническими рекомендациями – 75%;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33) доля пациентов старше 65 лет, направленных к врачу-офтальмологу после проведенного профилактического медицинского осмотра и диспансеризации определенных гру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пп взр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>ослого населения – 10%;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34) доля пациентов старше 65 лет, направленных к врачу-неврологу или врачу психиатру после проведенного профилактического медицинского осмотра и диспансеризации определенных гру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пп взр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>ослого населения – 7%;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35) доля пациентов старше 65 лет, направленных к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врачу-оториноларингологу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врачу-сурдологу-оториноларингологу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 после проведенного профилактического медицинского осмотра и диспансеризации определенных гру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пп взр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>ослого населения – 10%.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Программой устанавливаются целевые значения критериев доступности и качества медицинской помощи, на основе которых проводится комплексная оценка их уровня и динамики.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Кроме того,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Критериями доступности медицинской помощи, оказываемой медицинскими организациями, подведомственными федеральным органам исполнительной власти, являются: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доля объема средств, направленных на оказание специализированной, в том числе высокотехнологичной, медицинской помощи с коэффициентом относительной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затратоемкости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 xml:space="preserve">, равным 2 и более, в общем объеме средств, направленных на оказание специализированной, в том числе высокотехнологичной, медицинской помощи, за вычетом объема средств, направленных на оказание специализированной медицинской помощи в экстренной форме с коэффициентом относительной </w:t>
      </w:r>
      <w:proofErr w:type="spellStart"/>
      <w:r w:rsidRPr="003F48AD">
        <w:rPr>
          <w:rFonts w:ascii="Times New Roman" w:hAnsi="Times New Roman" w:cs="Times New Roman"/>
          <w:b w:val="0"/>
          <w:sz w:val="28"/>
          <w:szCs w:val="28"/>
        </w:rPr>
        <w:t>затратоемкости</w:t>
      </w:r>
      <w:proofErr w:type="spellEnd"/>
      <w:r w:rsidRPr="003F48AD">
        <w:rPr>
          <w:rFonts w:ascii="Times New Roman" w:hAnsi="Times New Roman" w:cs="Times New Roman"/>
          <w:b w:val="0"/>
          <w:sz w:val="28"/>
          <w:szCs w:val="28"/>
        </w:rPr>
        <w:t>, равным менее 2 (для образовательных организаций высшего образования</w:t>
      </w:r>
      <w:proofErr w:type="gramEnd"/>
      <w:r w:rsidRPr="003F48AD">
        <w:rPr>
          <w:rFonts w:ascii="Times New Roman" w:hAnsi="Times New Roman" w:cs="Times New Roman"/>
          <w:b w:val="0"/>
          <w:sz w:val="28"/>
          <w:szCs w:val="28"/>
        </w:rPr>
        <w:t>, осуществляющих оказание медицинской помощи в 2026 – 2028 годах, не менее 65 процентов, для остальных федеральных медицинских организаций в 2026 году – не менее 75 процентов, в 2027 – 2028 годах – не менее 80 процентов).</w:t>
      </w:r>
    </w:p>
    <w:p w:rsidR="003F48AD" w:rsidRPr="003F48AD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Целевые значения критериев доступности и качества медицинской помощи на соответствующий год не могут отличаться от значений показателей и (или) результатов, установленных в федеральных проектах национального проекта «Продолжительная и активная жизнь», в том числе в федеральном проекте «Здоровье для каждого».</w:t>
      </w:r>
    </w:p>
    <w:p w:rsidR="00004BD3" w:rsidRPr="000946D0" w:rsidRDefault="003F48AD" w:rsidP="003F48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48AD">
        <w:rPr>
          <w:rFonts w:ascii="Times New Roman" w:hAnsi="Times New Roman" w:cs="Times New Roman"/>
          <w:b w:val="0"/>
          <w:sz w:val="28"/>
          <w:szCs w:val="28"/>
        </w:rPr>
        <w:t>Оценка достижения критериев доступности и качества медицинской помощи осуществляется министерством здравоохранения Новосибирской области один раз в полгода с направлением соответствующих данных в Министерство здравоохранения Российской Федерации</w:t>
      </w:r>
      <w:proofErr w:type="gramStart"/>
      <w:r w:rsidRPr="003F48AD">
        <w:rPr>
          <w:rFonts w:ascii="Times New Roman" w:hAnsi="Times New Roman" w:cs="Times New Roman"/>
          <w:b w:val="0"/>
          <w:sz w:val="28"/>
          <w:szCs w:val="28"/>
        </w:rPr>
        <w:t>.».</w:t>
      </w:r>
      <w:proofErr w:type="gramEnd"/>
    </w:p>
    <w:sectPr w:rsidR="00004BD3" w:rsidRPr="000946D0" w:rsidSect="000946D0">
      <w:pgSz w:w="11906" w:h="16838"/>
      <w:pgMar w:top="426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474" w:rsidRDefault="00153474" w:rsidP="00962320">
      <w:pPr>
        <w:spacing w:after="0" w:line="240" w:lineRule="auto"/>
      </w:pPr>
      <w:r>
        <w:separator/>
      </w:r>
    </w:p>
  </w:endnote>
  <w:endnote w:type="continuationSeparator" w:id="0">
    <w:p w:rsidR="00153474" w:rsidRDefault="00153474" w:rsidP="0096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474" w:rsidRDefault="00153474" w:rsidP="00962320">
      <w:pPr>
        <w:spacing w:after="0" w:line="240" w:lineRule="auto"/>
      </w:pPr>
      <w:r>
        <w:separator/>
      </w:r>
    </w:p>
  </w:footnote>
  <w:footnote w:type="continuationSeparator" w:id="0">
    <w:p w:rsidR="00153474" w:rsidRDefault="00153474" w:rsidP="009623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E6D83"/>
    <w:rsid w:val="00004BD3"/>
    <w:rsid w:val="00025F0F"/>
    <w:rsid w:val="000946D0"/>
    <w:rsid w:val="000B186C"/>
    <w:rsid w:val="000B258D"/>
    <w:rsid w:val="000F0BEB"/>
    <w:rsid w:val="00107DC4"/>
    <w:rsid w:val="00136639"/>
    <w:rsid w:val="00140584"/>
    <w:rsid w:val="00153474"/>
    <w:rsid w:val="00184AC9"/>
    <w:rsid w:val="00187C85"/>
    <w:rsid w:val="00193DED"/>
    <w:rsid w:val="001F02D9"/>
    <w:rsid w:val="0020016D"/>
    <w:rsid w:val="00214324"/>
    <w:rsid w:val="00265CE5"/>
    <w:rsid w:val="002B0B8A"/>
    <w:rsid w:val="002E5199"/>
    <w:rsid w:val="002F4185"/>
    <w:rsid w:val="00312790"/>
    <w:rsid w:val="003C5A34"/>
    <w:rsid w:val="003F48AD"/>
    <w:rsid w:val="003F6093"/>
    <w:rsid w:val="00427834"/>
    <w:rsid w:val="004913A7"/>
    <w:rsid w:val="00496763"/>
    <w:rsid w:val="005715C5"/>
    <w:rsid w:val="005A64F5"/>
    <w:rsid w:val="00607F9D"/>
    <w:rsid w:val="00617ADD"/>
    <w:rsid w:val="0068631B"/>
    <w:rsid w:val="006D270B"/>
    <w:rsid w:val="006F2C3C"/>
    <w:rsid w:val="006F35ED"/>
    <w:rsid w:val="00772DE2"/>
    <w:rsid w:val="00792228"/>
    <w:rsid w:val="00826E81"/>
    <w:rsid w:val="00845DAE"/>
    <w:rsid w:val="0089021B"/>
    <w:rsid w:val="008F4193"/>
    <w:rsid w:val="008F4774"/>
    <w:rsid w:val="009126EA"/>
    <w:rsid w:val="00962320"/>
    <w:rsid w:val="009B1D7B"/>
    <w:rsid w:val="009D508F"/>
    <w:rsid w:val="009E4F4E"/>
    <w:rsid w:val="00A02C1D"/>
    <w:rsid w:val="00A93300"/>
    <w:rsid w:val="00AB2C33"/>
    <w:rsid w:val="00AF2EAC"/>
    <w:rsid w:val="00B11F88"/>
    <w:rsid w:val="00C57CE2"/>
    <w:rsid w:val="00CF6640"/>
    <w:rsid w:val="00D03CFE"/>
    <w:rsid w:val="00D31F2B"/>
    <w:rsid w:val="00D4205B"/>
    <w:rsid w:val="00D475D4"/>
    <w:rsid w:val="00D8295E"/>
    <w:rsid w:val="00DE3759"/>
    <w:rsid w:val="00E55D44"/>
    <w:rsid w:val="00E85DED"/>
    <w:rsid w:val="00E86397"/>
    <w:rsid w:val="00EA0D57"/>
    <w:rsid w:val="00EA257F"/>
    <w:rsid w:val="00EE7149"/>
    <w:rsid w:val="00F56693"/>
    <w:rsid w:val="00FE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2320"/>
  </w:style>
  <w:style w:type="paragraph" w:styleId="a5">
    <w:name w:val="footer"/>
    <w:basedOn w:val="a"/>
    <w:link w:val="a6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2320"/>
  </w:style>
  <w:style w:type="paragraph" w:customStyle="1" w:styleId="ConsPlusNormal">
    <w:name w:val="ConsPlusNormal"/>
    <w:rsid w:val="005A64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A64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&#1064;&#1072;&#1073;&#1083;&#1086;&#1085;%20&#1095;&#1080;&#1089;&#1090;&#1099;&#1081;%20&#1083;&#1080;&#1089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чистый лист</Template>
  <TotalTime>7</TotalTime>
  <Pages>4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A_Zaigraev</dc:creator>
  <cp:lastModifiedBy>A_Zaigraev</cp:lastModifiedBy>
  <cp:revision>6</cp:revision>
  <dcterms:created xsi:type="dcterms:W3CDTF">2020-01-10T03:18:00Z</dcterms:created>
  <dcterms:modified xsi:type="dcterms:W3CDTF">2026-01-11T09:54:00Z</dcterms:modified>
</cp:coreProperties>
</file>